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62907" w14:textId="61E9A7FA" w:rsidR="004A19D9" w:rsidRDefault="00B54E73" w:rsidP="00F66FCB">
      <w:pPr>
        <w:jc w:val="center"/>
        <w:rPr>
          <w:b/>
        </w:rPr>
      </w:pPr>
      <w:r w:rsidRPr="004A19D9">
        <w:rPr>
          <w:b/>
        </w:rPr>
        <w:t>R</w:t>
      </w:r>
      <w:r w:rsidR="004A19D9">
        <w:rPr>
          <w:b/>
        </w:rPr>
        <w:t xml:space="preserve">esearch in </w:t>
      </w:r>
      <w:r w:rsidRPr="004A19D9">
        <w:rPr>
          <w:b/>
        </w:rPr>
        <w:t>E</w:t>
      </w:r>
      <w:r w:rsidR="004A19D9">
        <w:rPr>
          <w:b/>
        </w:rPr>
        <w:t xml:space="preserve">ngineering </w:t>
      </w:r>
      <w:r w:rsidRPr="004A19D9">
        <w:rPr>
          <w:b/>
        </w:rPr>
        <w:t>E</w:t>
      </w:r>
      <w:r w:rsidR="004A19D9">
        <w:rPr>
          <w:b/>
        </w:rPr>
        <w:t xml:space="preserve">ducation </w:t>
      </w:r>
      <w:r w:rsidRPr="004A19D9">
        <w:rPr>
          <w:b/>
        </w:rPr>
        <w:t>S</w:t>
      </w:r>
      <w:r w:rsidR="004A19D9">
        <w:rPr>
          <w:b/>
        </w:rPr>
        <w:t xml:space="preserve">ymposium – Australasian </w:t>
      </w:r>
      <w:r w:rsidRPr="004A19D9">
        <w:rPr>
          <w:b/>
        </w:rPr>
        <w:t>A</w:t>
      </w:r>
      <w:r w:rsidR="004A19D9">
        <w:rPr>
          <w:b/>
        </w:rPr>
        <w:t>ssociation for Engineering Education Conference</w:t>
      </w:r>
      <w:r w:rsidRPr="004A19D9">
        <w:rPr>
          <w:b/>
        </w:rPr>
        <w:t xml:space="preserve"> 2021</w:t>
      </w:r>
    </w:p>
    <w:p w14:paraId="0C10D474" w14:textId="5CCE7F52" w:rsidR="004A19D9" w:rsidRPr="004A19D9" w:rsidRDefault="004A19D9" w:rsidP="004A19D9">
      <w:pPr>
        <w:jc w:val="center"/>
        <w:rPr>
          <w:b/>
          <w:sz w:val="28"/>
          <w:szCs w:val="28"/>
        </w:rPr>
      </w:pPr>
      <w:r w:rsidRPr="004A19D9">
        <w:rPr>
          <w:b/>
          <w:sz w:val="28"/>
          <w:szCs w:val="28"/>
        </w:rPr>
        <w:t>Call for Papers and Workshops</w:t>
      </w:r>
      <w:r w:rsidR="009262EC">
        <w:rPr>
          <w:b/>
          <w:sz w:val="28"/>
          <w:szCs w:val="28"/>
        </w:rPr>
        <w:t xml:space="preserve"> R1</w:t>
      </w:r>
    </w:p>
    <w:p w14:paraId="472990EC" w14:textId="7CB3109F" w:rsidR="004D1304" w:rsidRPr="004A19D9" w:rsidRDefault="004D1304" w:rsidP="00F66FCB">
      <w:pPr>
        <w:jc w:val="center"/>
        <w:rPr>
          <w:b/>
        </w:rPr>
      </w:pPr>
    </w:p>
    <w:p w14:paraId="09913FBA" w14:textId="77777777" w:rsidR="00F66FCB" w:rsidRDefault="00F66FCB">
      <w:r>
        <w:t>The Research in Engineering Education Symposium and Australasian Association for Engineering Education Annual Conference (REES AAEE 2021) will be held jointly on 5-8 December 2021:</w:t>
      </w:r>
    </w:p>
    <w:p w14:paraId="0F8451EF" w14:textId="2269BBF0" w:rsidR="00F66FCB" w:rsidRDefault="00F66FCB" w:rsidP="00F66FCB">
      <w:pPr>
        <w:pStyle w:val="ListParagraph"/>
        <w:numPr>
          <w:ilvl w:val="0"/>
          <w:numId w:val="6"/>
        </w:numPr>
      </w:pPr>
      <w:r>
        <w:t>face-to-face at The University of Western Australia, Perth</w:t>
      </w:r>
      <w:r w:rsidR="00C453D4">
        <w:t>,</w:t>
      </w:r>
      <w:r>
        <w:t xml:space="preserve"> Western Australia</w:t>
      </w:r>
    </w:p>
    <w:p w14:paraId="56411072" w14:textId="69D88B83" w:rsidR="00F66FCB" w:rsidRDefault="00F66FCB" w:rsidP="00F66FCB">
      <w:pPr>
        <w:pStyle w:val="ListParagraph"/>
        <w:numPr>
          <w:ilvl w:val="0"/>
          <w:numId w:val="6"/>
        </w:numPr>
      </w:pPr>
      <w:r>
        <w:t>hybrid during Perth business hours, and</w:t>
      </w:r>
    </w:p>
    <w:p w14:paraId="22836881" w14:textId="77777777" w:rsidR="00F66FCB" w:rsidRDefault="00F66FCB" w:rsidP="00F66FCB">
      <w:pPr>
        <w:pStyle w:val="ListParagraph"/>
        <w:numPr>
          <w:ilvl w:val="0"/>
          <w:numId w:val="6"/>
        </w:numPr>
      </w:pPr>
      <w:proofErr w:type="gramStart"/>
      <w:r>
        <w:t>online</w:t>
      </w:r>
      <w:proofErr w:type="gramEnd"/>
      <w:r>
        <w:t xml:space="preserve"> outside Perth business hours. </w:t>
      </w:r>
    </w:p>
    <w:p w14:paraId="6EDE08E0" w14:textId="77777777" w:rsidR="00F66FCB" w:rsidRDefault="00F66FCB" w:rsidP="00F66FCB">
      <w:pPr>
        <w:pStyle w:val="ListParagraph"/>
      </w:pPr>
    </w:p>
    <w:p w14:paraId="4540C3E5" w14:textId="264CE446" w:rsidR="00F66FCB" w:rsidRDefault="00F66FCB" w:rsidP="00F66FCB">
      <w:r>
        <w:t>We are delighted to invite submissions of papers and workshop proposals.</w:t>
      </w:r>
    </w:p>
    <w:p w14:paraId="2668D557" w14:textId="77777777" w:rsidR="00F66FCB" w:rsidRDefault="00F66FCB"/>
    <w:p w14:paraId="792363F3" w14:textId="3A7875D8" w:rsidR="0092680C" w:rsidRPr="00F66FCB" w:rsidRDefault="0092680C" w:rsidP="0092680C">
      <w:pPr>
        <w:rPr>
          <w:b/>
        </w:rPr>
      </w:pPr>
      <w:r w:rsidRPr="00F66FCB">
        <w:rPr>
          <w:b/>
        </w:rPr>
        <w:t xml:space="preserve">Paper </w:t>
      </w:r>
      <w:r w:rsidR="00C453D4">
        <w:rPr>
          <w:b/>
        </w:rPr>
        <w:t xml:space="preserve">and Workshop </w:t>
      </w:r>
      <w:r w:rsidRPr="00F66FCB">
        <w:rPr>
          <w:b/>
        </w:rPr>
        <w:t xml:space="preserve">Sessions </w:t>
      </w:r>
    </w:p>
    <w:p w14:paraId="5DBE6A2B" w14:textId="77777777" w:rsidR="0092680C" w:rsidRDefault="0092680C" w:rsidP="0092680C">
      <w:r>
        <w:t xml:space="preserve">Themed clusters of papers will be presented in 90-minute sessions including a 3-minute recording for each paper followed by discussion on all papers in the session, and culminating in an output for other sessions on the theme. Each paper will be presented and discussed in a hybrid session and in an online session at a time suitable for participants sleeping during daylight in Perth. Paper sessions on the same theme will be connected throughout the conference.  </w:t>
      </w:r>
    </w:p>
    <w:p w14:paraId="6CFBEE6D" w14:textId="77777777" w:rsidR="0092680C" w:rsidRDefault="0092680C" w:rsidP="0092680C"/>
    <w:p w14:paraId="17F6C0A3" w14:textId="5B573D76" w:rsidR="0092680C" w:rsidRDefault="0092680C" w:rsidP="0092680C">
      <w:r>
        <w:t>Workshops will be 90 minutes. Work</w:t>
      </w:r>
      <w:r w:rsidR="00C453D4">
        <w:t>shop proposers may nominate</w:t>
      </w:r>
      <w:r>
        <w:t xml:space="preserve"> their </w:t>
      </w:r>
      <w:r w:rsidR="00C453D4">
        <w:t xml:space="preserve">preference for their </w:t>
      </w:r>
      <w:r>
        <w:t>workshop to be facilitated face-to-face in Perth, facilitated in hybrid mode</w:t>
      </w:r>
      <w:r w:rsidR="00C453D4">
        <w:t xml:space="preserve"> during Perth business hours, or online only out of Perth business hours</w:t>
      </w:r>
      <w:r>
        <w:t>.</w:t>
      </w:r>
    </w:p>
    <w:p w14:paraId="7048FC90" w14:textId="77777777" w:rsidR="0092680C" w:rsidRDefault="0092680C" w:rsidP="0092680C"/>
    <w:p w14:paraId="48C3113E" w14:textId="6B7EE13D" w:rsidR="00B54E73" w:rsidRDefault="00B54E73">
      <w:pPr>
        <w:rPr>
          <w:b/>
        </w:rPr>
      </w:pPr>
      <w:r w:rsidRPr="00F66FCB">
        <w:rPr>
          <w:b/>
        </w:rPr>
        <w:t xml:space="preserve">Submission </w:t>
      </w:r>
      <w:r w:rsidR="00F66FCB">
        <w:rPr>
          <w:b/>
        </w:rPr>
        <w:t>Categories and Stages</w:t>
      </w:r>
    </w:p>
    <w:p w14:paraId="4D11CDE2" w14:textId="77777777" w:rsidR="00F66FCB" w:rsidRDefault="00F66FCB" w:rsidP="00F66FCB">
      <w:r w:rsidRPr="00F66FCB">
        <w:t xml:space="preserve">Submissions </w:t>
      </w:r>
      <w:r>
        <w:t xml:space="preserve">are invited in two </w:t>
      </w:r>
      <w:r w:rsidRPr="00F66FCB">
        <w:t xml:space="preserve">stages. </w:t>
      </w:r>
    </w:p>
    <w:p w14:paraId="24F7F90E" w14:textId="2A95EB5A" w:rsidR="00F66FCB" w:rsidRDefault="00F66FCB" w:rsidP="00F66FCB">
      <w:pPr>
        <w:pStyle w:val="ListParagraph"/>
        <w:numPr>
          <w:ilvl w:val="0"/>
          <w:numId w:val="5"/>
        </w:numPr>
      </w:pPr>
      <w:r>
        <w:t xml:space="preserve">Abstracts for papers are invited for review to provide authors with advice on scope and quality. </w:t>
      </w:r>
    </w:p>
    <w:p w14:paraId="4CABDE04" w14:textId="2798BC07" w:rsidR="00F66FCB" w:rsidRDefault="00FA53D8" w:rsidP="00F66FCB">
      <w:pPr>
        <w:pStyle w:val="ListParagraph"/>
        <w:numPr>
          <w:ilvl w:val="0"/>
          <w:numId w:val="5"/>
        </w:numPr>
      </w:pPr>
      <w:r>
        <w:t>Papers,</w:t>
      </w:r>
      <w:r w:rsidR="00F66FCB">
        <w:t xml:space="preserve"> and workshop proposals</w:t>
      </w:r>
      <w:r>
        <w:t>,</w:t>
      </w:r>
      <w:r w:rsidR="00F66FCB">
        <w:t xml:space="preserve"> are </w:t>
      </w:r>
      <w:r>
        <w:t>invited for review.</w:t>
      </w:r>
    </w:p>
    <w:p w14:paraId="4BA57B06" w14:textId="4929F647" w:rsidR="00F66FCB" w:rsidRDefault="00ED1F68" w:rsidP="00F66FCB">
      <w:pPr>
        <w:pStyle w:val="ListParagraph"/>
        <w:numPr>
          <w:ilvl w:val="1"/>
          <w:numId w:val="4"/>
        </w:numPr>
      </w:pPr>
      <w:r>
        <w:t>Research paper</w:t>
      </w:r>
      <w:r w:rsidR="00F66FCB">
        <w:t>s</w:t>
      </w:r>
      <w:r>
        <w:t xml:space="preserve"> (</w:t>
      </w:r>
      <w:r w:rsidR="003A665A">
        <w:t>jointly</w:t>
      </w:r>
      <w:r>
        <w:t xml:space="preserve"> for </w:t>
      </w:r>
      <w:r w:rsidR="00083BD0">
        <w:t>REES</w:t>
      </w:r>
      <w:r w:rsidR="00CB550B">
        <w:t xml:space="preserve"> AAEE</w:t>
      </w:r>
      <w:r>
        <w:t>)</w:t>
      </w:r>
    </w:p>
    <w:p w14:paraId="0F9A3D88" w14:textId="09FFBC36" w:rsidR="00F66FCB" w:rsidRDefault="00CB550B" w:rsidP="00F66FCB">
      <w:pPr>
        <w:pStyle w:val="ListParagraph"/>
        <w:numPr>
          <w:ilvl w:val="1"/>
          <w:numId w:val="4"/>
        </w:numPr>
      </w:pPr>
      <w:r>
        <w:t>Practice paper (for AAEE</w:t>
      </w:r>
      <w:r w:rsidR="00ED1F68">
        <w:t xml:space="preserve"> only)</w:t>
      </w:r>
    </w:p>
    <w:p w14:paraId="3786A2E0" w14:textId="2E3C7E77" w:rsidR="00ED1F68" w:rsidRDefault="00F66FCB" w:rsidP="00F66FCB">
      <w:pPr>
        <w:pStyle w:val="ListParagraph"/>
        <w:numPr>
          <w:ilvl w:val="1"/>
          <w:numId w:val="4"/>
        </w:numPr>
      </w:pPr>
      <w:r>
        <w:t>Workshop proposals</w:t>
      </w:r>
      <w:r w:rsidR="00CB550B">
        <w:t xml:space="preserve"> (face-to-face; hybrid; or online only)</w:t>
      </w:r>
    </w:p>
    <w:p w14:paraId="2617ED44" w14:textId="65DBDF92" w:rsidR="00F66FCB" w:rsidRPr="00F66FCB" w:rsidRDefault="00F66FCB" w:rsidP="00F66FCB">
      <w:r>
        <w:t xml:space="preserve">Submission deadlines are listed on the </w:t>
      </w:r>
      <w:hyperlink r:id="rId5" w:history="1">
        <w:r w:rsidRPr="00F66FCB">
          <w:rPr>
            <w:rStyle w:val="Hyperlink"/>
          </w:rPr>
          <w:t>conference homepage</w:t>
        </w:r>
      </w:hyperlink>
      <w:r>
        <w:t xml:space="preserve"> (</w:t>
      </w:r>
      <w:r w:rsidRPr="00F66FCB">
        <w:t>https://rees-aaee21.org/</w:t>
      </w:r>
      <w:r>
        <w:t>)</w:t>
      </w:r>
    </w:p>
    <w:p w14:paraId="34F0BD21" w14:textId="12946F70" w:rsidR="001E5E5E" w:rsidRDefault="001E5E5E"/>
    <w:p w14:paraId="5B1ECFEB" w14:textId="34D61B18" w:rsidR="00F66FCB" w:rsidRDefault="00F66FCB" w:rsidP="00F66FCB">
      <w:r>
        <w:t xml:space="preserve">Accepted papers and workshops will be presented/facilitated at the conference by registered participants. Registration is joint for REES AAEE 2021. </w:t>
      </w:r>
    </w:p>
    <w:p w14:paraId="14DA3AF8" w14:textId="77777777" w:rsidR="00AE00BB" w:rsidRDefault="00AE00BB" w:rsidP="00F66FCB"/>
    <w:p w14:paraId="3295DE6A" w14:textId="77777777" w:rsidR="00AE00BB" w:rsidRPr="00F66FCB" w:rsidRDefault="00AE00BB" w:rsidP="00AE00BB">
      <w:pPr>
        <w:rPr>
          <w:b/>
        </w:rPr>
      </w:pPr>
      <w:r w:rsidRPr="00F66FCB">
        <w:rPr>
          <w:b/>
        </w:rPr>
        <w:t>Templates</w:t>
      </w:r>
      <w:r>
        <w:rPr>
          <w:b/>
        </w:rPr>
        <w:t xml:space="preserve"> and </w:t>
      </w:r>
      <w:r w:rsidRPr="00AE00BB">
        <w:rPr>
          <w:b/>
        </w:rPr>
        <w:t>Submission Portal</w:t>
      </w:r>
    </w:p>
    <w:p w14:paraId="3A8253D0" w14:textId="77777777" w:rsidR="00AE00BB" w:rsidRDefault="00AE00BB" w:rsidP="00AE00BB">
      <w:r>
        <w:t xml:space="preserve">Authors must follow </w:t>
      </w:r>
      <w:r w:rsidRPr="00AE00BB">
        <w:t>the templates</w:t>
      </w:r>
      <w:r>
        <w:t xml:space="preserve"> available on the conference website. All submissions are made at </w:t>
      </w:r>
      <w:hyperlink r:id="rId6" w:tgtFrame="_blank" w:history="1">
        <w:r>
          <w:rPr>
            <w:rStyle w:val="Hyperlink"/>
            <w:rFonts w:ascii="Verdana" w:hAnsi="Verdana"/>
            <w:color w:val="1D419F"/>
            <w:sz w:val="20"/>
            <w:szCs w:val="20"/>
          </w:rPr>
          <w:t>https://easychair.org/conferences/?conf=reesaaee2021</w:t>
        </w:r>
      </w:hyperlink>
      <w:r>
        <w:t>.</w:t>
      </w:r>
    </w:p>
    <w:p w14:paraId="241532C6" w14:textId="77777777" w:rsidR="00AE00BB" w:rsidRDefault="00AE00BB" w:rsidP="00AE00BB">
      <w:pPr>
        <w:rPr>
          <w:b/>
        </w:rPr>
      </w:pPr>
    </w:p>
    <w:p w14:paraId="032B4E54" w14:textId="5C49A98C" w:rsidR="00AE04D3" w:rsidRDefault="00AE04D3" w:rsidP="00AE00BB">
      <w:pPr>
        <w:keepNext/>
        <w:rPr>
          <w:b/>
        </w:rPr>
      </w:pPr>
      <w:r w:rsidRPr="00AE00BB">
        <w:rPr>
          <w:b/>
        </w:rPr>
        <w:lastRenderedPageBreak/>
        <w:t>Review Criteria</w:t>
      </w:r>
    </w:p>
    <w:p w14:paraId="10FA54FA" w14:textId="6E9AAA9F" w:rsidR="00AE00BB" w:rsidRDefault="00AE00BB" w:rsidP="00AE00BB">
      <w:pPr>
        <w:keepNext/>
        <w:rPr>
          <w:b/>
        </w:rPr>
      </w:pPr>
    </w:p>
    <w:p w14:paraId="3E90919E" w14:textId="1C2627F6" w:rsidR="00AE00BB" w:rsidRDefault="00AE00BB" w:rsidP="00AE00BB">
      <w:pPr>
        <w:keepNext/>
      </w:pPr>
      <w:r w:rsidRPr="00AE00BB">
        <w:t xml:space="preserve">The review criteria for the two categories of papers are presented in Table 1. </w:t>
      </w:r>
    </w:p>
    <w:p w14:paraId="7ED7DADC" w14:textId="39F4299A" w:rsidR="00AE00BB" w:rsidRDefault="00AE00BB" w:rsidP="00AE00BB"/>
    <w:p w14:paraId="66ECC033" w14:textId="77594DA6" w:rsidR="00AE00BB" w:rsidRPr="00AE00BB" w:rsidRDefault="00AE00BB" w:rsidP="00AE00BB">
      <w:pPr>
        <w:jc w:val="center"/>
      </w:pPr>
      <w:r>
        <w:t>Table 1. Paper Review Criteria</w:t>
      </w:r>
    </w:p>
    <w:tbl>
      <w:tblPr>
        <w:tblStyle w:val="TableGrid"/>
        <w:tblW w:w="0" w:type="auto"/>
        <w:tblInd w:w="0" w:type="dxa"/>
        <w:tblLook w:val="04A0" w:firstRow="1" w:lastRow="0" w:firstColumn="1" w:lastColumn="0" w:noHBand="0" w:noVBand="1"/>
      </w:tblPr>
      <w:tblGrid>
        <w:gridCol w:w="1495"/>
        <w:gridCol w:w="3741"/>
        <w:gridCol w:w="4114"/>
      </w:tblGrid>
      <w:tr w:rsidR="00AE04D3" w14:paraId="571AE2AA" w14:textId="77777777" w:rsidTr="008501A8">
        <w:trPr>
          <w:trHeight w:val="517"/>
        </w:trPr>
        <w:tc>
          <w:tcPr>
            <w:tcW w:w="1495" w:type="dxa"/>
            <w:tcBorders>
              <w:top w:val="single" w:sz="4" w:space="0" w:color="auto"/>
              <w:left w:val="single" w:sz="4" w:space="0" w:color="auto"/>
              <w:bottom w:val="single" w:sz="4" w:space="0" w:color="auto"/>
              <w:right w:val="single" w:sz="4" w:space="0" w:color="auto"/>
            </w:tcBorders>
            <w:vAlign w:val="center"/>
            <w:hideMark/>
          </w:tcPr>
          <w:p w14:paraId="5BF6E323" w14:textId="1069DD81" w:rsidR="00AE04D3" w:rsidRDefault="008501A8" w:rsidP="004A19D9">
            <w:pPr>
              <w:keepNext/>
              <w:rPr>
                <w:rFonts w:asciiTheme="majorHAnsi" w:hAnsiTheme="majorHAnsi"/>
                <w:b/>
                <w:sz w:val="22"/>
                <w:szCs w:val="22"/>
              </w:rPr>
            </w:pPr>
            <w:r>
              <w:rPr>
                <w:rFonts w:asciiTheme="majorHAnsi" w:hAnsiTheme="majorHAnsi"/>
                <w:b/>
                <w:sz w:val="22"/>
                <w:szCs w:val="22"/>
              </w:rPr>
              <w:t>Criterion</w:t>
            </w:r>
          </w:p>
        </w:tc>
        <w:tc>
          <w:tcPr>
            <w:tcW w:w="3741" w:type="dxa"/>
            <w:tcBorders>
              <w:top w:val="single" w:sz="4" w:space="0" w:color="auto"/>
              <w:left w:val="single" w:sz="4" w:space="0" w:color="auto"/>
              <w:bottom w:val="single" w:sz="4" w:space="0" w:color="auto"/>
              <w:right w:val="single" w:sz="4" w:space="0" w:color="auto"/>
            </w:tcBorders>
            <w:vAlign w:val="center"/>
            <w:hideMark/>
          </w:tcPr>
          <w:p w14:paraId="297492C7" w14:textId="480E7FA4" w:rsidR="00AE04D3" w:rsidRDefault="008501A8" w:rsidP="004A19D9">
            <w:pPr>
              <w:keepNext/>
              <w:jc w:val="center"/>
              <w:rPr>
                <w:rFonts w:asciiTheme="majorHAnsi" w:hAnsiTheme="majorHAnsi"/>
                <w:b/>
                <w:sz w:val="22"/>
                <w:szCs w:val="22"/>
              </w:rPr>
            </w:pPr>
            <w:r>
              <w:rPr>
                <w:rFonts w:asciiTheme="majorHAnsi" w:hAnsiTheme="majorHAnsi"/>
                <w:b/>
                <w:sz w:val="22"/>
                <w:szCs w:val="22"/>
              </w:rPr>
              <w:t xml:space="preserve">For Review of </w:t>
            </w:r>
            <w:r w:rsidR="00AE04D3">
              <w:rPr>
                <w:rFonts w:asciiTheme="majorHAnsi" w:hAnsiTheme="majorHAnsi"/>
                <w:b/>
                <w:sz w:val="22"/>
                <w:szCs w:val="22"/>
              </w:rPr>
              <w:t>Research Papers</w:t>
            </w:r>
          </w:p>
        </w:tc>
        <w:tc>
          <w:tcPr>
            <w:tcW w:w="4114" w:type="dxa"/>
            <w:tcBorders>
              <w:top w:val="single" w:sz="4" w:space="0" w:color="auto"/>
              <w:left w:val="single" w:sz="4" w:space="0" w:color="auto"/>
              <w:bottom w:val="single" w:sz="4" w:space="0" w:color="auto"/>
              <w:right w:val="single" w:sz="4" w:space="0" w:color="auto"/>
            </w:tcBorders>
            <w:vAlign w:val="center"/>
            <w:hideMark/>
          </w:tcPr>
          <w:p w14:paraId="782FA6B2" w14:textId="62C7AF12" w:rsidR="00AE04D3" w:rsidRDefault="008501A8" w:rsidP="004A19D9">
            <w:pPr>
              <w:keepNext/>
              <w:jc w:val="center"/>
              <w:rPr>
                <w:rFonts w:asciiTheme="majorHAnsi" w:hAnsiTheme="majorHAnsi"/>
                <w:b/>
                <w:sz w:val="22"/>
                <w:szCs w:val="22"/>
              </w:rPr>
            </w:pPr>
            <w:r>
              <w:rPr>
                <w:rFonts w:asciiTheme="majorHAnsi" w:hAnsiTheme="majorHAnsi"/>
                <w:b/>
                <w:sz w:val="22"/>
                <w:szCs w:val="22"/>
              </w:rPr>
              <w:t xml:space="preserve">For Review of </w:t>
            </w:r>
            <w:r w:rsidR="00AE04D3">
              <w:rPr>
                <w:rFonts w:asciiTheme="majorHAnsi" w:hAnsiTheme="majorHAnsi"/>
                <w:b/>
                <w:sz w:val="22"/>
                <w:szCs w:val="22"/>
              </w:rPr>
              <w:t>Practice Papers</w:t>
            </w:r>
          </w:p>
        </w:tc>
      </w:tr>
      <w:tr w:rsidR="00AE04D3" w14:paraId="561AB3C1" w14:textId="77777777" w:rsidTr="008501A8">
        <w:tc>
          <w:tcPr>
            <w:tcW w:w="1495" w:type="dxa"/>
            <w:tcBorders>
              <w:top w:val="single" w:sz="4" w:space="0" w:color="auto"/>
              <w:left w:val="single" w:sz="4" w:space="0" w:color="auto"/>
              <w:bottom w:val="single" w:sz="4" w:space="0" w:color="auto"/>
              <w:right w:val="single" w:sz="4" w:space="0" w:color="auto"/>
            </w:tcBorders>
            <w:vAlign w:val="center"/>
            <w:hideMark/>
          </w:tcPr>
          <w:p w14:paraId="3D767218" w14:textId="77777777" w:rsidR="00AE04D3" w:rsidRDefault="00AE04D3" w:rsidP="004A19D9">
            <w:pPr>
              <w:keepNext/>
              <w:rPr>
                <w:rFonts w:asciiTheme="majorHAnsi" w:hAnsiTheme="majorHAnsi"/>
                <w:b/>
                <w:sz w:val="22"/>
                <w:szCs w:val="22"/>
              </w:rPr>
            </w:pPr>
            <w:r>
              <w:rPr>
                <w:rFonts w:asciiTheme="majorHAnsi" w:hAnsiTheme="majorHAnsi"/>
                <w:b/>
                <w:sz w:val="22"/>
                <w:szCs w:val="22"/>
              </w:rPr>
              <w:t>1. Focus of the Paper</w:t>
            </w:r>
          </w:p>
        </w:tc>
        <w:tc>
          <w:tcPr>
            <w:tcW w:w="3741" w:type="dxa"/>
            <w:tcBorders>
              <w:top w:val="single" w:sz="4" w:space="0" w:color="auto"/>
              <w:left w:val="single" w:sz="4" w:space="0" w:color="auto"/>
              <w:bottom w:val="single" w:sz="4" w:space="0" w:color="auto"/>
              <w:right w:val="single" w:sz="4" w:space="0" w:color="auto"/>
            </w:tcBorders>
            <w:vAlign w:val="center"/>
            <w:hideMark/>
          </w:tcPr>
          <w:p w14:paraId="0403D080" w14:textId="77777777" w:rsidR="00AE04D3" w:rsidRDefault="00AE04D3" w:rsidP="004A19D9">
            <w:pPr>
              <w:keepNext/>
              <w:spacing w:before="120" w:after="120"/>
              <w:rPr>
                <w:rFonts w:asciiTheme="majorHAnsi" w:hAnsiTheme="majorHAnsi"/>
                <w:sz w:val="20"/>
                <w:szCs w:val="20"/>
              </w:rPr>
            </w:pPr>
            <w:r>
              <w:rPr>
                <w:rFonts w:asciiTheme="majorHAnsi" w:hAnsiTheme="majorHAnsi"/>
                <w:sz w:val="20"/>
                <w:szCs w:val="20"/>
              </w:rPr>
              <w:t>The paper clearly describes the research question OR hypothesis and explains the implications of the project to research and/or practice.</w:t>
            </w:r>
          </w:p>
        </w:tc>
        <w:tc>
          <w:tcPr>
            <w:tcW w:w="4114" w:type="dxa"/>
            <w:tcBorders>
              <w:top w:val="single" w:sz="4" w:space="0" w:color="auto"/>
              <w:left w:val="single" w:sz="4" w:space="0" w:color="auto"/>
              <w:bottom w:val="single" w:sz="4" w:space="0" w:color="auto"/>
              <w:right w:val="single" w:sz="4" w:space="0" w:color="auto"/>
            </w:tcBorders>
            <w:vAlign w:val="center"/>
            <w:hideMark/>
          </w:tcPr>
          <w:p w14:paraId="21626072" w14:textId="77777777" w:rsidR="00AE04D3" w:rsidRDefault="00AE04D3" w:rsidP="004A19D9">
            <w:pPr>
              <w:keepNext/>
              <w:spacing w:before="120" w:after="120"/>
              <w:rPr>
                <w:rFonts w:asciiTheme="majorHAnsi" w:hAnsiTheme="majorHAnsi"/>
                <w:sz w:val="20"/>
                <w:szCs w:val="20"/>
              </w:rPr>
            </w:pPr>
            <w:r>
              <w:rPr>
                <w:rFonts w:asciiTheme="majorHAnsi" w:hAnsiTheme="majorHAnsi"/>
                <w:sz w:val="20"/>
                <w:szCs w:val="20"/>
              </w:rPr>
              <w:t>The paper focuses on an aspect of academic practice, including the goals or intended outcomes, and explains the implications of this work (e.g. consideration of whether the findings could be applied elsewhere, or how the work reflects on existing literature in the field).</w:t>
            </w:r>
          </w:p>
        </w:tc>
      </w:tr>
      <w:tr w:rsidR="00AE04D3" w14:paraId="55A5E958" w14:textId="77777777" w:rsidTr="008501A8">
        <w:tc>
          <w:tcPr>
            <w:tcW w:w="1495" w:type="dxa"/>
            <w:tcBorders>
              <w:top w:val="single" w:sz="4" w:space="0" w:color="auto"/>
              <w:left w:val="single" w:sz="4" w:space="0" w:color="auto"/>
              <w:bottom w:val="single" w:sz="4" w:space="0" w:color="auto"/>
              <w:right w:val="single" w:sz="4" w:space="0" w:color="auto"/>
            </w:tcBorders>
            <w:vAlign w:val="center"/>
            <w:hideMark/>
          </w:tcPr>
          <w:p w14:paraId="596ED1BF" w14:textId="77777777" w:rsidR="00AE04D3" w:rsidRDefault="00AE04D3">
            <w:pPr>
              <w:rPr>
                <w:rFonts w:asciiTheme="majorHAnsi" w:hAnsiTheme="majorHAnsi"/>
                <w:b/>
                <w:sz w:val="22"/>
                <w:szCs w:val="22"/>
              </w:rPr>
            </w:pPr>
            <w:r>
              <w:rPr>
                <w:rFonts w:asciiTheme="majorHAnsi" w:hAnsiTheme="majorHAnsi"/>
                <w:b/>
                <w:sz w:val="22"/>
                <w:szCs w:val="22"/>
              </w:rPr>
              <w:t>2. Relevance</w:t>
            </w:r>
          </w:p>
        </w:tc>
        <w:tc>
          <w:tcPr>
            <w:tcW w:w="3741" w:type="dxa"/>
            <w:tcBorders>
              <w:top w:val="single" w:sz="4" w:space="0" w:color="auto"/>
              <w:left w:val="single" w:sz="4" w:space="0" w:color="auto"/>
              <w:bottom w:val="single" w:sz="4" w:space="0" w:color="auto"/>
              <w:right w:val="single" w:sz="4" w:space="0" w:color="auto"/>
            </w:tcBorders>
            <w:vAlign w:val="center"/>
            <w:hideMark/>
          </w:tcPr>
          <w:p w14:paraId="0B71760A" w14:textId="77777777" w:rsidR="00AE04D3" w:rsidRDefault="00AE04D3">
            <w:pPr>
              <w:spacing w:before="120" w:after="120"/>
              <w:rPr>
                <w:rFonts w:asciiTheme="majorHAnsi" w:hAnsiTheme="majorHAnsi"/>
                <w:sz w:val="20"/>
                <w:szCs w:val="20"/>
              </w:rPr>
            </w:pPr>
            <w:r>
              <w:rPr>
                <w:rFonts w:asciiTheme="majorHAnsi" w:hAnsiTheme="majorHAnsi"/>
                <w:sz w:val="20"/>
                <w:szCs w:val="20"/>
              </w:rPr>
              <w:t>The paper clearly relates the work undertaken to relevant discussions in the literature and other disciplinary literature as required; and describes its contribution to these discussions.</w:t>
            </w:r>
          </w:p>
        </w:tc>
        <w:tc>
          <w:tcPr>
            <w:tcW w:w="4114" w:type="dxa"/>
            <w:tcBorders>
              <w:top w:val="single" w:sz="4" w:space="0" w:color="auto"/>
              <w:left w:val="single" w:sz="4" w:space="0" w:color="auto"/>
              <w:bottom w:val="single" w:sz="4" w:space="0" w:color="auto"/>
              <w:right w:val="single" w:sz="4" w:space="0" w:color="auto"/>
            </w:tcBorders>
            <w:vAlign w:val="center"/>
            <w:hideMark/>
          </w:tcPr>
          <w:p w14:paraId="1ACA1575" w14:textId="77777777" w:rsidR="00AE04D3" w:rsidRDefault="00AE04D3">
            <w:pPr>
              <w:spacing w:before="120" w:after="120"/>
              <w:rPr>
                <w:rFonts w:asciiTheme="majorHAnsi" w:hAnsiTheme="majorHAnsi"/>
                <w:sz w:val="20"/>
                <w:szCs w:val="20"/>
              </w:rPr>
            </w:pPr>
            <w:r>
              <w:rPr>
                <w:rFonts w:asciiTheme="majorHAnsi" w:hAnsiTheme="majorHAnsi"/>
                <w:sz w:val="20"/>
                <w:szCs w:val="20"/>
              </w:rPr>
              <w:t>The paper relates the work done to existing relevant published literature and establishes the significance of the academic practice to engineering education.</w:t>
            </w:r>
          </w:p>
        </w:tc>
      </w:tr>
      <w:tr w:rsidR="00AE04D3" w14:paraId="33318480" w14:textId="77777777" w:rsidTr="008501A8">
        <w:tc>
          <w:tcPr>
            <w:tcW w:w="1495" w:type="dxa"/>
            <w:tcBorders>
              <w:top w:val="single" w:sz="4" w:space="0" w:color="auto"/>
              <w:left w:val="single" w:sz="4" w:space="0" w:color="auto"/>
              <w:bottom w:val="single" w:sz="4" w:space="0" w:color="auto"/>
              <w:right w:val="single" w:sz="4" w:space="0" w:color="auto"/>
            </w:tcBorders>
            <w:vAlign w:val="center"/>
            <w:hideMark/>
          </w:tcPr>
          <w:p w14:paraId="58F5A584" w14:textId="77777777" w:rsidR="00AE04D3" w:rsidRDefault="00AE04D3">
            <w:pPr>
              <w:rPr>
                <w:rFonts w:asciiTheme="majorHAnsi" w:hAnsiTheme="majorHAnsi"/>
                <w:b/>
                <w:sz w:val="22"/>
                <w:szCs w:val="22"/>
              </w:rPr>
            </w:pPr>
            <w:r>
              <w:rPr>
                <w:rFonts w:asciiTheme="majorHAnsi" w:hAnsiTheme="majorHAnsi"/>
                <w:b/>
                <w:sz w:val="22"/>
                <w:szCs w:val="22"/>
              </w:rPr>
              <w:t>3. Approach</w:t>
            </w:r>
          </w:p>
        </w:tc>
        <w:tc>
          <w:tcPr>
            <w:tcW w:w="3741" w:type="dxa"/>
            <w:tcBorders>
              <w:top w:val="single" w:sz="4" w:space="0" w:color="auto"/>
              <w:left w:val="single" w:sz="4" w:space="0" w:color="auto"/>
              <w:bottom w:val="single" w:sz="4" w:space="0" w:color="auto"/>
              <w:right w:val="single" w:sz="4" w:space="0" w:color="auto"/>
            </w:tcBorders>
            <w:vAlign w:val="center"/>
            <w:hideMark/>
          </w:tcPr>
          <w:p w14:paraId="62DB9CE8" w14:textId="77777777" w:rsidR="00AE04D3" w:rsidRDefault="00AE04D3">
            <w:pPr>
              <w:spacing w:before="120" w:after="120"/>
              <w:rPr>
                <w:rFonts w:asciiTheme="majorHAnsi" w:hAnsiTheme="majorHAnsi"/>
                <w:sz w:val="20"/>
                <w:szCs w:val="20"/>
                <w:lang w:val="en-AU"/>
              </w:rPr>
            </w:pPr>
            <w:r>
              <w:rPr>
                <w:rFonts w:asciiTheme="majorHAnsi" w:hAnsiTheme="majorHAnsi"/>
                <w:sz w:val="20"/>
                <w:szCs w:val="20"/>
                <w:lang w:val="en-AU"/>
              </w:rPr>
              <w:t>The paper clearly describes and justifies the appropriateness of the overall approach, which could include designs, methods, theories and analytic processes; and discusses the limitations of the study.</w:t>
            </w:r>
          </w:p>
        </w:tc>
        <w:tc>
          <w:tcPr>
            <w:tcW w:w="4114" w:type="dxa"/>
            <w:tcBorders>
              <w:top w:val="single" w:sz="4" w:space="0" w:color="auto"/>
              <w:left w:val="single" w:sz="4" w:space="0" w:color="auto"/>
              <w:bottom w:val="single" w:sz="4" w:space="0" w:color="auto"/>
              <w:right w:val="single" w:sz="4" w:space="0" w:color="auto"/>
            </w:tcBorders>
            <w:vAlign w:val="center"/>
            <w:hideMark/>
          </w:tcPr>
          <w:p w14:paraId="1E1F55F6" w14:textId="77777777" w:rsidR="00AE04D3" w:rsidRDefault="00AE04D3">
            <w:pPr>
              <w:spacing w:before="120" w:after="120"/>
              <w:rPr>
                <w:rFonts w:asciiTheme="majorHAnsi" w:hAnsiTheme="majorHAnsi"/>
                <w:sz w:val="20"/>
                <w:szCs w:val="20"/>
              </w:rPr>
            </w:pPr>
            <w:r>
              <w:rPr>
                <w:rFonts w:asciiTheme="majorHAnsi" w:hAnsiTheme="majorHAnsi"/>
                <w:sz w:val="20"/>
                <w:szCs w:val="20"/>
              </w:rPr>
              <w:t>The paper describes and justifies the appropriateness of the overall approach, which could include designs, methods, conceptual frameworks and analytical processes that have guided the design, implementation and evaluation of the work undertaken.</w:t>
            </w:r>
          </w:p>
        </w:tc>
      </w:tr>
      <w:tr w:rsidR="00AE04D3" w14:paraId="29F1A300" w14:textId="77777777" w:rsidTr="008501A8">
        <w:tc>
          <w:tcPr>
            <w:tcW w:w="1495" w:type="dxa"/>
            <w:tcBorders>
              <w:top w:val="single" w:sz="4" w:space="0" w:color="auto"/>
              <w:left w:val="single" w:sz="4" w:space="0" w:color="auto"/>
              <w:bottom w:val="single" w:sz="4" w:space="0" w:color="auto"/>
              <w:right w:val="single" w:sz="4" w:space="0" w:color="auto"/>
            </w:tcBorders>
            <w:vAlign w:val="center"/>
            <w:hideMark/>
          </w:tcPr>
          <w:p w14:paraId="0DB4FCF1" w14:textId="77777777" w:rsidR="00AE04D3" w:rsidRDefault="00AE04D3">
            <w:pPr>
              <w:rPr>
                <w:rFonts w:asciiTheme="majorHAnsi" w:hAnsiTheme="majorHAnsi"/>
                <w:b/>
                <w:sz w:val="22"/>
                <w:szCs w:val="22"/>
              </w:rPr>
            </w:pPr>
            <w:r>
              <w:rPr>
                <w:rFonts w:asciiTheme="majorHAnsi" w:hAnsiTheme="majorHAnsi"/>
                <w:b/>
                <w:sz w:val="22"/>
                <w:szCs w:val="22"/>
              </w:rPr>
              <w:t>4. Argument</w:t>
            </w:r>
          </w:p>
        </w:tc>
        <w:tc>
          <w:tcPr>
            <w:tcW w:w="3741" w:type="dxa"/>
            <w:tcBorders>
              <w:top w:val="single" w:sz="4" w:space="0" w:color="auto"/>
              <w:left w:val="single" w:sz="4" w:space="0" w:color="auto"/>
              <w:bottom w:val="single" w:sz="4" w:space="0" w:color="auto"/>
              <w:right w:val="single" w:sz="4" w:space="0" w:color="auto"/>
            </w:tcBorders>
            <w:vAlign w:val="center"/>
            <w:hideMark/>
          </w:tcPr>
          <w:p w14:paraId="7358663D" w14:textId="77777777" w:rsidR="00AE04D3" w:rsidRDefault="00AE04D3">
            <w:pPr>
              <w:spacing w:before="120" w:after="120"/>
              <w:rPr>
                <w:rFonts w:asciiTheme="majorHAnsi" w:hAnsiTheme="majorHAnsi"/>
                <w:sz w:val="20"/>
                <w:szCs w:val="20"/>
              </w:rPr>
            </w:pPr>
            <w:r>
              <w:rPr>
                <w:rFonts w:asciiTheme="majorHAnsi" w:hAnsiTheme="majorHAnsi"/>
                <w:sz w:val="20"/>
                <w:szCs w:val="20"/>
              </w:rPr>
              <w:t>The paper clearly presents novel ideas or results of significance to others that are supported by convincing evidence, and clearly reasoned, illustrating the connection between claims and evidence.</w:t>
            </w:r>
          </w:p>
        </w:tc>
        <w:tc>
          <w:tcPr>
            <w:tcW w:w="4114" w:type="dxa"/>
            <w:tcBorders>
              <w:top w:val="single" w:sz="4" w:space="0" w:color="auto"/>
              <w:left w:val="single" w:sz="4" w:space="0" w:color="auto"/>
              <w:bottom w:val="single" w:sz="4" w:space="0" w:color="auto"/>
              <w:right w:val="single" w:sz="4" w:space="0" w:color="auto"/>
            </w:tcBorders>
            <w:vAlign w:val="center"/>
            <w:hideMark/>
          </w:tcPr>
          <w:p w14:paraId="2157374F" w14:textId="77777777" w:rsidR="00AE04D3" w:rsidRDefault="00AE04D3">
            <w:pPr>
              <w:spacing w:before="120" w:after="120"/>
              <w:rPr>
                <w:rFonts w:asciiTheme="majorHAnsi" w:hAnsiTheme="majorHAnsi"/>
                <w:sz w:val="20"/>
                <w:szCs w:val="20"/>
              </w:rPr>
            </w:pPr>
            <w:r>
              <w:rPr>
                <w:rFonts w:asciiTheme="majorHAnsi" w:hAnsiTheme="majorHAnsi"/>
                <w:sz w:val="20"/>
                <w:szCs w:val="20"/>
              </w:rPr>
              <w:t>The paper reflects on the strengths and limitations of the work done, based on the initial goals and evidence from the evaluation process, and provides recommendations for academic practice.</w:t>
            </w:r>
          </w:p>
        </w:tc>
      </w:tr>
      <w:tr w:rsidR="00AE04D3" w14:paraId="4D45F84C" w14:textId="77777777" w:rsidTr="008501A8">
        <w:tc>
          <w:tcPr>
            <w:tcW w:w="1495" w:type="dxa"/>
            <w:tcBorders>
              <w:top w:val="single" w:sz="4" w:space="0" w:color="auto"/>
              <w:left w:val="single" w:sz="4" w:space="0" w:color="auto"/>
              <w:bottom w:val="single" w:sz="4" w:space="0" w:color="auto"/>
              <w:right w:val="single" w:sz="4" w:space="0" w:color="auto"/>
            </w:tcBorders>
            <w:vAlign w:val="center"/>
            <w:hideMark/>
          </w:tcPr>
          <w:p w14:paraId="3606ED8C" w14:textId="77777777" w:rsidR="00AE04D3" w:rsidRDefault="00AE04D3">
            <w:pPr>
              <w:rPr>
                <w:rFonts w:asciiTheme="majorHAnsi" w:hAnsiTheme="majorHAnsi"/>
                <w:b/>
                <w:sz w:val="22"/>
                <w:szCs w:val="22"/>
              </w:rPr>
            </w:pPr>
            <w:r>
              <w:rPr>
                <w:rFonts w:asciiTheme="majorHAnsi" w:hAnsiTheme="majorHAnsi"/>
                <w:b/>
                <w:sz w:val="22"/>
                <w:szCs w:val="22"/>
              </w:rPr>
              <w:t>5. Writing Quality</w:t>
            </w:r>
          </w:p>
        </w:tc>
        <w:tc>
          <w:tcPr>
            <w:tcW w:w="3741" w:type="dxa"/>
            <w:tcBorders>
              <w:top w:val="single" w:sz="4" w:space="0" w:color="auto"/>
              <w:left w:val="single" w:sz="4" w:space="0" w:color="auto"/>
              <w:bottom w:val="single" w:sz="4" w:space="0" w:color="auto"/>
              <w:right w:val="single" w:sz="4" w:space="0" w:color="auto"/>
            </w:tcBorders>
            <w:vAlign w:val="center"/>
            <w:hideMark/>
          </w:tcPr>
          <w:p w14:paraId="42D3F6B1" w14:textId="77777777" w:rsidR="00AE04D3" w:rsidRDefault="00AE04D3">
            <w:pPr>
              <w:spacing w:before="120" w:after="120"/>
              <w:rPr>
                <w:rFonts w:asciiTheme="majorHAnsi" w:hAnsiTheme="majorHAnsi"/>
                <w:sz w:val="20"/>
                <w:szCs w:val="20"/>
              </w:rPr>
            </w:pPr>
            <w:r>
              <w:rPr>
                <w:rFonts w:asciiTheme="majorHAnsi" w:hAnsiTheme="majorHAnsi"/>
                <w:sz w:val="20"/>
                <w:szCs w:val="20"/>
              </w:rPr>
              <w:t xml:space="preserve">The paper is written in appropriate English language of a sufficient standard to enable the reader to make sense of it.  </w:t>
            </w:r>
          </w:p>
        </w:tc>
        <w:tc>
          <w:tcPr>
            <w:tcW w:w="4114" w:type="dxa"/>
            <w:tcBorders>
              <w:top w:val="single" w:sz="4" w:space="0" w:color="auto"/>
              <w:left w:val="single" w:sz="4" w:space="0" w:color="auto"/>
              <w:bottom w:val="single" w:sz="4" w:space="0" w:color="auto"/>
              <w:right w:val="single" w:sz="4" w:space="0" w:color="auto"/>
            </w:tcBorders>
            <w:vAlign w:val="center"/>
            <w:hideMark/>
          </w:tcPr>
          <w:p w14:paraId="58ABAE2E" w14:textId="77777777" w:rsidR="00AE04D3" w:rsidRDefault="00AE04D3">
            <w:pPr>
              <w:spacing w:before="120" w:after="120"/>
              <w:rPr>
                <w:rFonts w:asciiTheme="majorHAnsi" w:hAnsiTheme="majorHAnsi"/>
                <w:sz w:val="20"/>
                <w:szCs w:val="20"/>
              </w:rPr>
            </w:pPr>
            <w:r>
              <w:rPr>
                <w:rFonts w:asciiTheme="majorHAnsi" w:hAnsiTheme="majorHAnsi"/>
                <w:sz w:val="20"/>
                <w:szCs w:val="20"/>
              </w:rPr>
              <w:t xml:space="preserve">The paper is written in appropriate English language of a sufficient standard to enable the reader to make sense of it.  </w:t>
            </w:r>
          </w:p>
        </w:tc>
      </w:tr>
    </w:tbl>
    <w:p w14:paraId="6741571D" w14:textId="77777777" w:rsidR="00AE04D3" w:rsidRDefault="00AE04D3" w:rsidP="00AE04D3">
      <w:pPr>
        <w:rPr>
          <w:rFonts w:asciiTheme="majorHAnsi" w:hAnsiTheme="majorHAnsi"/>
        </w:rPr>
      </w:pPr>
    </w:p>
    <w:p w14:paraId="4A72C6A5" w14:textId="77777777" w:rsidR="001E5E5E" w:rsidRDefault="001E5E5E"/>
    <w:p w14:paraId="00000003" w14:textId="0B875FA8" w:rsidR="00B46428" w:rsidRPr="00CB550B" w:rsidRDefault="00E209EE">
      <w:pPr>
        <w:rPr>
          <w:b/>
          <w:i/>
        </w:rPr>
      </w:pPr>
      <w:r w:rsidRPr="00CB550B">
        <w:rPr>
          <w:b/>
        </w:rPr>
        <w:t>Conference Theme</w:t>
      </w:r>
      <w:r w:rsidR="00CB550B">
        <w:rPr>
          <w:b/>
        </w:rPr>
        <w:t xml:space="preserve"> </w:t>
      </w:r>
      <w:r w:rsidRPr="00CB550B">
        <w:rPr>
          <w:b/>
          <w:i/>
        </w:rPr>
        <w:t xml:space="preserve">Engineering Education Research Capability Development </w:t>
      </w:r>
    </w:p>
    <w:p w14:paraId="312A6FB4" w14:textId="5EF04E4C" w:rsidR="008B36D0" w:rsidRDefault="00E43AAF">
      <w:r>
        <w:t xml:space="preserve">The conference theme is </w:t>
      </w:r>
      <w:r w:rsidRPr="00CB550B">
        <w:rPr>
          <w:i/>
        </w:rPr>
        <w:t>Engineering Education Research Capability Development</w:t>
      </w:r>
      <w:r>
        <w:t xml:space="preserve">. Authors are invited to nominate one of four sub-themes </w:t>
      </w:r>
      <w:r w:rsidR="00FA53D8">
        <w:t xml:space="preserve">in their submissions. </w:t>
      </w:r>
      <w:r w:rsidR="008B3A02" w:rsidRPr="008B3A02">
        <w:t xml:space="preserve">The </w:t>
      </w:r>
      <w:r>
        <w:t>sub-</w:t>
      </w:r>
      <w:r w:rsidR="008B3A02" w:rsidRPr="008B3A02">
        <w:t>themes are related</w:t>
      </w:r>
      <w:r>
        <w:t>, and Theme 4 is open</w:t>
      </w:r>
      <w:r w:rsidR="004254C5">
        <w:t xml:space="preserve"> to all topics on engineering education</w:t>
      </w:r>
      <w:r>
        <w:t xml:space="preserve">. </w:t>
      </w:r>
      <w:r w:rsidR="00F66FCB">
        <w:t xml:space="preserve"> The themes are:</w:t>
      </w:r>
    </w:p>
    <w:p w14:paraId="783A5741" w14:textId="71323FA3" w:rsidR="00F66FCB" w:rsidRDefault="00F66FCB"/>
    <w:p w14:paraId="2FC04721" w14:textId="75210F01" w:rsidR="00F66FCB" w:rsidRDefault="00F66FCB" w:rsidP="00F66FCB">
      <w:pPr>
        <w:pStyle w:val="ListParagraph"/>
        <w:numPr>
          <w:ilvl w:val="0"/>
          <w:numId w:val="2"/>
        </w:numPr>
      </w:pPr>
      <w:r>
        <w:t>OUTCOMES of engineering education research</w:t>
      </w:r>
    </w:p>
    <w:p w14:paraId="3936D7B4" w14:textId="5FABC6A0" w:rsidR="00F66FCB" w:rsidRDefault="00F66FCB" w:rsidP="00F66FCB">
      <w:pPr>
        <w:pStyle w:val="ListParagraph"/>
        <w:numPr>
          <w:ilvl w:val="0"/>
          <w:numId w:val="2"/>
        </w:numPr>
      </w:pPr>
      <w:r>
        <w:t xml:space="preserve">WHO does </w:t>
      </w:r>
      <w:r w:rsidR="00FA53D8">
        <w:t>engineering education</w:t>
      </w:r>
    </w:p>
    <w:p w14:paraId="46899751" w14:textId="6F62EA8A" w:rsidR="00F66FCB" w:rsidRDefault="00F66FCB" w:rsidP="00F66FCB">
      <w:pPr>
        <w:pStyle w:val="ListParagraph"/>
        <w:numPr>
          <w:ilvl w:val="0"/>
          <w:numId w:val="2"/>
        </w:numPr>
      </w:pPr>
      <w:r>
        <w:t>HOW engineering education research is undertaken</w:t>
      </w:r>
    </w:p>
    <w:p w14:paraId="40CCA3D3" w14:textId="4A1C9D7C" w:rsidR="00F66FCB" w:rsidRDefault="00F66FCB" w:rsidP="00F66FCB">
      <w:pPr>
        <w:pStyle w:val="ListParagraph"/>
        <w:numPr>
          <w:ilvl w:val="0"/>
          <w:numId w:val="2"/>
        </w:numPr>
      </w:pPr>
      <w:r>
        <w:t>Engineering education STUDIES</w:t>
      </w:r>
    </w:p>
    <w:p w14:paraId="46D2745D" w14:textId="1A322FEB" w:rsidR="0092680C" w:rsidRDefault="0092680C" w:rsidP="0092680C"/>
    <w:p w14:paraId="12650ABD" w14:textId="70F021F1" w:rsidR="0092680C" w:rsidRPr="008B3A02" w:rsidRDefault="0092680C" w:rsidP="0092680C">
      <w:r>
        <w:t xml:space="preserve">Sample topics for each theme </w:t>
      </w:r>
      <w:r w:rsidR="00A400BB">
        <w:t>include and are not limited to the following.</w:t>
      </w:r>
    </w:p>
    <w:p w14:paraId="61A44003" w14:textId="7538A74D" w:rsidR="00A44206" w:rsidRPr="00532CA3" w:rsidRDefault="00A44206"/>
    <w:p w14:paraId="6728D7FF" w14:textId="0FC3E853" w:rsidR="00E93EA3" w:rsidRDefault="00F66FCB" w:rsidP="0092680C">
      <w:pPr>
        <w:pStyle w:val="ListParagraph"/>
        <w:numPr>
          <w:ilvl w:val="0"/>
          <w:numId w:val="8"/>
        </w:numPr>
      </w:pPr>
      <w:r>
        <w:t>OUTCOMES</w:t>
      </w:r>
      <w:r w:rsidR="00B54E73">
        <w:t xml:space="preserve">: </w:t>
      </w:r>
      <w:r w:rsidR="00A44206" w:rsidRPr="00532CA3">
        <w:t xml:space="preserve">Why </w:t>
      </w:r>
      <w:r>
        <w:t>engineering education research</w:t>
      </w:r>
      <w:r w:rsidR="00A44206" w:rsidRPr="00532CA3">
        <w:t xml:space="preserve"> is </w:t>
      </w:r>
      <w:r>
        <w:t>needed;</w:t>
      </w:r>
      <w:r w:rsidR="00A400BB">
        <w:t xml:space="preserve"> w</w:t>
      </w:r>
      <w:r w:rsidR="00A44206" w:rsidRPr="00532CA3">
        <w:t xml:space="preserve">hat </w:t>
      </w:r>
      <w:r>
        <w:t>engineering education research</w:t>
      </w:r>
      <w:r w:rsidR="00A44206" w:rsidRPr="00532CA3">
        <w:t xml:space="preserve"> is </w:t>
      </w:r>
      <w:r>
        <w:t>needed;</w:t>
      </w:r>
      <w:r w:rsidR="000A3097" w:rsidRPr="00532CA3">
        <w:t xml:space="preserve"> </w:t>
      </w:r>
      <w:r w:rsidR="00A400BB">
        <w:t>f</w:t>
      </w:r>
      <w:r w:rsidR="000969DB" w:rsidRPr="00532CA3">
        <w:t>or whom</w:t>
      </w:r>
      <w:r w:rsidR="008B36D0" w:rsidRPr="00532CA3">
        <w:t xml:space="preserve"> is </w:t>
      </w:r>
      <w:r>
        <w:t xml:space="preserve">engineering education research; </w:t>
      </w:r>
      <w:r w:rsidR="00A400BB">
        <w:t>i</w:t>
      </w:r>
      <w:r w:rsidR="000A3097" w:rsidRPr="00532CA3">
        <w:t xml:space="preserve">mpact of </w:t>
      </w:r>
      <w:r>
        <w:t>engineering education research</w:t>
      </w:r>
    </w:p>
    <w:p w14:paraId="2D897F22" w14:textId="430FF903" w:rsidR="00B20156" w:rsidRPr="00532CA3" w:rsidRDefault="00B20156" w:rsidP="0092680C">
      <w:pPr>
        <w:pStyle w:val="ListParagraph"/>
        <w:numPr>
          <w:ilvl w:val="1"/>
          <w:numId w:val="7"/>
        </w:numPr>
      </w:pPr>
      <w:r w:rsidRPr="00532CA3">
        <w:t xml:space="preserve">Problems </w:t>
      </w:r>
      <w:r w:rsidR="00B54E73">
        <w:t xml:space="preserve">that engineering education researchers should address </w:t>
      </w:r>
    </w:p>
    <w:p w14:paraId="6B2C612E" w14:textId="74E5C37D" w:rsidR="00515E8F" w:rsidRPr="00532CA3" w:rsidRDefault="000969DB" w:rsidP="0092680C">
      <w:pPr>
        <w:pStyle w:val="ListParagraph"/>
        <w:numPr>
          <w:ilvl w:val="1"/>
          <w:numId w:val="7"/>
        </w:numPr>
      </w:pPr>
      <w:r w:rsidRPr="00532CA3">
        <w:t>F</w:t>
      </w:r>
      <w:r w:rsidR="00515E8F" w:rsidRPr="00532CA3">
        <w:t>unding</w:t>
      </w:r>
    </w:p>
    <w:p w14:paraId="7E9254B0" w14:textId="23984CFC" w:rsidR="00E93EA3" w:rsidRPr="00532CA3" w:rsidRDefault="000969DB" w:rsidP="0092680C">
      <w:pPr>
        <w:pStyle w:val="ListParagraph"/>
        <w:numPr>
          <w:ilvl w:val="1"/>
          <w:numId w:val="7"/>
        </w:numPr>
      </w:pPr>
      <w:r w:rsidRPr="00532CA3">
        <w:t>I</w:t>
      </w:r>
      <w:r w:rsidR="00515E8F" w:rsidRPr="00532CA3">
        <w:t>mpact</w:t>
      </w:r>
      <w:r w:rsidR="00E93EA3" w:rsidRPr="00532CA3">
        <w:t xml:space="preserve"> </w:t>
      </w:r>
    </w:p>
    <w:p w14:paraId="1765A6F3" w14:textId="0503D1C0" w:rsidR="00E93EA3" w:rsidRPr="00532CA3" w:rsidRDefault="00E93EA3" w:rsidP="0092680C">
      <w:pPr>
        <w:pStyle w:val="ListParagraph"/>
        <w:numPr>
          <w:ilvl w:val="1"/>
          <w:numId w:val="7"/>
        </w:numPr>
      </w:pPr>
      <w:r w:rsidRPr="00532CA3">
        <w:t>Publication</w:t>
      </w:r>
    </w:p>
    <w:p w14:paraId="2E6191F8" w14:textId="07032A89" w:rsidR="00515E8F" w:rsidRPr="00532CA3" w:rsidRDefault="00E93EA3" w:rsidP="0092680C">
      <w:pPr>
        <w:pStyle w:val="ListParagraph"/>
        <w:numPr>
          <w:ilvl w:val="1"/>
          <w:numId w:val="7"/>
        </w:numPr>
      </w:pPr>
      <w:r w:rsidRPr="00532CA3">
        <w:t>Dissemination</w:t>
      </w:r>
    </w:p>
    <w:p w14:paraId="47A409FB" w14:textId="77777777" w:rsidR="00585FD4" w:rsidRPr="00532CA3" w:rsidRDefault="000969DB" w:rsidP="0092680C">
      <w:pPr>
        <w:pStyle w:val="ListParagraph"/>
        <w:numPr>
          <w:ilvl w:val="1"/>
          <w:numId w:val="7"/>
        </w:numPr>
      </w:pPr>
      <w:r w:rsidRPr="00532CA3">
        <w:t>Reviewing</w:t>
      </w:r>
      <w:r w:rsidR="00585FD4" w:rsidRPr="00532CA3">
        <w:t xml:space="preserve"> </w:t>
      </w:r>
    </w:p>
    <w:p w14:paraId="1F8381BE" w14:textId="4BCBBC6F" w:rsidR="000969DB" w:rsidRPr="00532CA3" w:rsidRDefault="00585FD4" w:rsidP="0092680C">
      <w:pPr>
        <w:pStyle w:val="ListParagraph"/>
        <w:numPr>
          <w:ilvl w:val="1"/>
          <w:numId w:val="7"/>
        </w:numPr>
      </w:pPr>
      <w:r w:rsidRPr="00532CA3">
        <w:t xml:space="preserve">Engaging teachers in </w:t>
      </w:r>
      <w:r w:rsidR="00FA53D8">
        <w:t>engineering education research</w:t>
      </w:r>
    </w:p>
    <w:p w14:paraId="19772A9D" w14:textId="63562123" w:rsidR="00A44206" w:rsidRPr="00532CA3" w:rsidRDefault="00A44206"/>
    <w:p w14:paraId="5A548C0A" w14:textId="0312B558" w:rsidR="008B36D0" w:rsidRDefault="00F66FCB" w:rsidP="0092680C">
      <w:pPr>
        <w:pStyle w:val="ListParagraph"/>
        <w:numPr>
          <w:ilvl w:val="0"/>
          <w:numId w:val="7"/>
        </w:numPr>
      </w:pPr>
      <w:r>
        <w:t>WHO</w:t>
      </w:r>
      <w:r w:rsidR="00B54E73">
        <w:t xml:space="preserve">: </w:t>
      </w:r>
      <w:r w:rsidR="008B36D0" w:rsidRPr="00532CA3">
        <w:t xml:space="preserve">Who does </w:t>
      </w:r>
      <w:r>
        <w:t>engine</w:t>
      </w:r>
      <w:r w:rsidR="00A400BB">
        <w:t>ering education research? With whom? When?</w:t>
      </w:r>
      <w:r w:rsidR="008B36D0" w:rsidRPr="00532CA3">
        <w:t xml:space="preserve"> Where? </w:t>
      </w:r>
    </w:p>
    <w:p w14:paraId="0D31B382" w14:textId="2FC5A377" w:rsidR="00F66FCB" w:rsidRDefault="00F66FCB" w:rsidP="008B36D0">
      <w:pPr>
        <w:pStyle w:val="ListParagraph"/>
        <w:numPr>
          <w:ilvl w:val="1"/>
          <w:numId w:val="2"/>
        </w:numPr>
      </w:pPr>
      <w:r>
        <w:t>Diversity and inclusion in engineering education research practice</w:t>
      </w:r>
    </w:p>
    <w:p w14:paraId="788D38C4" w14:textId="68C27BB9" w:rsidR="008B36D0" w:rsidRDefault="00F66FCB" w:rsidP="008B36D0">
      <w:pPr>
        <w:pStyle w:val="ListParagraph"/>
        <w:numPr>
          <w:ilvl w:val="1"/>
          <w:numId w:val="2"/>
        </w:numPr>
      </w:pPr>
      <w:r>
        <w:t xml:space="preserve">Engineering education research </w:t>
      </w:r>
      <w:r w:rsidR="00B54E73">
        <w:t>c</w:t>
      </w:r>
      <w:r w:rsidR="008B36D0" w:rsidRPr="00532CA3">
        <w:t>apability development in regions</w:t>
      </w:r>
    </w:p>
    <w:p w14:paraId="081161F8" w14:textId="2D07C68C" w:rsidR="00F66FCB" w:rsidRPr="00532CA3" w:rsidRDefault="00F66FCB" w:rsidP="00F66FCB">
      <w:pPr>
        <w:pStyle w:val="ListParagraph"/>
        <w:numPr>
          <w:ilvl w:val="1"/>
          <w:numId w:val="2"/>
        </w:numPr>
      </w:pPr>
      <w:r>
        <w:t>Engineering education research c</w:t>
      </w:r>
      <w:r w:rsidRPr="00532CA3">
        <w:t xml:space="preserve">apability development in </w:t>
      </w:r>
      <w:r>
        <w:t>institutions</w:t>
      </w:r>
    </w:p>
    <w:p w14:paraId="738F1137" w14:textId="0BDAA146" w:rsidR="008B36D0" w:rsidRPr="00532CA3" w:rsidRDefault="008B36D0" w:rsidP="008B36D0">
      <w:pPr>
        <w:pStyle w:val="ListParagraph"/>
        <w:numPr>
          <w:ilvl w:val="1"/>
          <w:numId w:val="2"/>
        </w:numPr>
      </w:pPr>
      <w:r w:rsidRPr="00532CA3">
        <w:t xml:space="preserve">Supporting </w:t>
      </w:r>
      <w:r w:rsidR="00F66FCB">
        <w:t>student researchers</w:t>
      </w:r>
    </w:p>
    <w:p w14:paraId="1FF27DA7" w14:textId="46C89CED" w:rsidR="008B36D0" w:rsidRPr="00532CA3" w:rsidRDefault="008B36D0" w:rsidP="008B36D0">
      <w:pPr>
        <w:pStyle w:val="ListParagraph"/>
        <w:numPr>
          <w:ilvl w:val="1"/>
          <w:numId w:val="2"/>
        </w:numPr>
      </w:pPr>
      <w:r w:rsidRPr="00532CA3">
        <w:t xml:space="preserve">Removing institutional barriers </w:t>
      </w:r>
    </w:p>
    <w:p w14:paraId="34CB320E" w14:textId="193911A8" w:rsidR="008B36D0" w:rsidRPr="00532CA3" w:rsidRDefault="008B36D0" w:rsidP="008B36D0">
      <w:pPr>
        <w:pStyle w:val="ListParagraph"/>
        <w:numPr>
          <w:ilvl w:val="1"/>
          <w:numId w:val="2"/>
        </w:numPr>
      </w:pPr>
      <w:r w:rsidRPr="00532CA3">
        <w:t xml:space="preserve">Recognition </w:t>
      </w:r>
    </w:p>
    <w:p w14:paraId="724C1A60" w14:textId="77777777" w:rsidR="008B36D0" w:rsidRPr="00532CA3" w:rsidRDefault="008B36D0" w:rsidP="008B36D0">
      <w:pPr>
        <w:pStyle w:val="ListParagraph"/>
        <w:numPr>
          <w:ilvl w:val="1"/>
          <w:numId w:val="2"/>
        </w:numPr>
      </w:pPr>
      <w:r w:rsidRPr="00532CA3">
        <w:t>Transitioning from engineering to engineering education research</w:t>
      </w:r>
    </w:p>
    <w:p w14:paraId="43A16FE9" w14:textId="77777777" w:rsidR="0092680C" w:rsidRDefault="008B36D0" w:rsidP="00910B9B">
      <w:pPr>
        <w:pStyle w:val="ListParagraph"/>
        <w:numPr>
          <w:ilvl w:val="1"/>
          <w:numId w:val="2"/>
        </w:numPr>
      </w:pPr>
      <w:r w:rsidRPr="00532CA3">
        <w:t>Div</w:t>
      </w:r>
      <w:r w:rsidR="008A039B" w:rsidRPr="00532CA3">
        <w:t xml:space="preserve">ersity in </w:t>
      </w:r>
      <w:r w:rsidR="00F66FCB">
        <w:t>engineering education research</w:t>
      </w:r>
      <w:r w:rsidRPr="00532CA3">
        <w:t xml:space="preserve"> </w:t>
      </w:r>
      <w:r w:rsidR="00F66FCB">
        <w:t>development</w:t>
      </w:r>
    </w:p>
    <w:p w14:paraId="136DE690" w14:textId="77777777" w:rsidR="0092680C" w:rsidRDefault="0092680C" w:rsidP="00910B9B">
      <w:pPr>
        <w:pStyle w:val="ListParagraph"/>
        <w:numPr>
          <w:ilvl w:val="1"/>
          <w:numId w:val="2"/>
        </w:numPr>
      </w:pPr>
      <w:r>
        <w:t>Mentoring</w:t>
      </w:r>
    </w:p>
    <w:p w14:paraId="0B774D6A" w14:textId="03C8536E" w:rsidR="008B36D0" w:rsidRDefault="0092680C" w:rsidP="00910B9B">
      <w:pPr>
        <w:pStyle w:val="ListParagraph"/>
        <w:numPr>
          <w:ilvl w:val="1"/>
          <w:numId w:val="2"/>
        </w:numPr>
      </w:pPr>
      <w:r>
        <w:t>Sponsorship</w:t>
      </w:r>
      <w:r w:rsidR="00F66FCB">
        <w:t xml:space="preserve"> </w:t>
      </w:r>
    </w:p>
    <w:p w14:paraId="159FFDE9" w14:textId="77777777" w:rsidR="00F66FCB" w:rsidRPr="00532CA3" w:rsidRDefault="00F66FCB" w:rsidP="00F66FCB">
      <w:pPr>
        <w:pStyle w:val="ListParagraph"/>
        <w:ind w:left="1440"/>
      </w:pPr>
    </w:p>
    <w:p w14:paraId="64296460" w14:textId="666CA8EF" w:rsidR="00A44206" w:rsidRPr="00532CA3" w:rsidRDefault="00B54E73" w:rsidP="0092680C">
      <w:pPr>
        <w:pStyle w:val="ListParagraph"/>
        <w:numPr>
          <w:ilvl w:val="0"/>
          <w:numId w:val="7"/>
        </w:numPr>
      </w:pPr>
      <w:r>
        <w:t xml:space="preserve">HOW: </w:t>
      </w:r>
      <w:r w:rsidR="00A44206" w:rsidRPr="00532CA3">
        <w:t xml:space="preserve">How </w:t>
      </w:r>
      <w:r w:rsidR="00F66FCB">
        <w:t>engineering education research is undertaken</w:t>
      </w:r>
    </w:p>
    <w:p w14:paraId="0B50171F" w14:textId="77777777" w:rsidR="001E4079" w:rsidRPr="00532CA3" w:rsidRDefault="00515E8F" w:rsidP="001E4079">
      <w:pPr>
        <w:pStyle w:val="ListParagraph"/>
        <w:numPr>
          <w:ilvl w:val="1"/>
          <w:numId w:val="2"/>
        </w:numPr>
      </w:pPr>
      <w:r w:rsidRPr="00532CA3">
        <w:t>Methodologies</w:t>
      </w:r>
    </w:p>
    <w:p w14:paraId="3532EDC6" w14:textId="3D33016E" w:rsidR="001E4079" w:rsidRDefault="001E4079" w:rsidP="001E4079">
      <w:pPr>
        <w:pStyle w:val="ListParagraph"/>
        <w:numPr>
          <w:ilvl w:val="1"/>
          <w:numId w:val="2"/>
        </w:numPr>
      </w:pPr>
      <w:r w:rsidRPr="00532CA3">
        <w:t>Theoretical and methodological development</w:t>
      </w:r>
    </w:p>
    <w:p w14:paraId="68CA9ABF" w14:textId="14352461" w:rsidR="00F66FCB" w:rsidRPr="00532CA3" w:rsidRDefault="00F66FCB" w:rsidP="001E4079">
      <w:pPr>
        <w:pStyle w:val="ListParagraph"/>
        <w:numPr>
          <w:ilvl w:val="1"/>
          <w:numId w:val="2"/>
        </w:numPr>
      </w:pPr>
      <w:r>
        <w:t>Quality</w:t>
      </w:r>
    </w:p>
    <w:p w14:paraId="5264A964" w14:textId="77777777" w:rsidR="00515E8F" w:rsidRPr="00532CA3" w:rsidRDefault="00515E8F" w:rsidP="00515E8F">
      <w:pPr>
        <w:pStyle w:val="ListParagraph"/>
      </w:pPr>
    </w:p>
    <w:p w14:paraId="2C212D7E" w14:textId="0DD38EC0" w:rsidR="00A44206" w:rsidRDefault="00F66FCB" w:rsidP="0092680C">
      <w:pPr>
        <w:pStyle w:val="ListParagraph"/>
        <w:numPr>
          <w:ilvl w:val="0"/>
          <w:numId w:val="7"/>
        </w:numPr>
      </w:pPr>
      <w:r>
        <w:t>STUDIES</w:t>
      </w:r>
      <w:r w:rsidR="00CB550B">
        <w:t xml:space="preserve">: </w:t>
      </w:r>
      <w:r>
        <w:t>E</w:t>
      </w:r>
      <w:r w:rsidR="00E93EA3" w:rsidRPr="00532CA3">
        <w:t xml:space="preserve">ngineering education research on </w:t>
      </w:r>
      <w:r w:rsidR="00BE7791" w:rsidRPr="00532CA3">
        <w:t>any topic outside those above</w:t>
      </w:r>
    </w:p>
    <w:p w14:paraId="70A8A072" w14:textId="10202F07" w:rsidR="00B54E73" w:rsidRDefault="00B54E73" w:rsidP="00B54E73">
      <w:pPr>
        <w:pStyle w:val="ListParagraph"/>
      </w:pPr>
    </w:p>
    <w:p w14:paraId="35F68FBC" w14:textId="5D1CCCCC" w:rsidR="00B54E73" w:rsidRPr="008B6F71" w:rsidRDefault="00B54E73" w:rsidP="00B54E73">
      <w:pPr>
        <w:pStyle w:val="ListParagraph"/>
        <w:ind w:left="0"/>
        <w:rPr>
          <w:b/>
        </w:rPr>
      </w:pPr>
      <w:r w:rsidRPr="008B6F71">
        <w:rPr>
          <w:b/>
        </w:rPr>
        <w:t>Special Issue</w:t>
      </w:r>
    </w:p>
    <w:p w14:paraId="34E9A911" w14:textId="436E485D" w:rsidR="00B54E73" w:rsidRDefault="00B54E73" w:rsidP="00B54E73">
      <w:pPr>
        <w:pStyle w:val="ListParagraph"/>
        <w:ind w:left="0"/>
      </w:pPr>
      <w:r>
        <w:t xml:space="preserve">Aligned with REES AAEE 2021, papers are invited for a special issue of the </w:t>
      </w:r>
      <w:hyperlink r:id="rId7" w:history="1">
        <w:r w:rsidRPr="00F66FCB">
          <w:rPr>
            <w:rStyle w:val="Hyperlink"/>
            <w:i/>
          </w:rPr>
          <w:t>Australasian Journal of Engineering Education</w:t>
        </w:r>
      </w:hyperlink>
      <w:r>
        <w:t xml:space="preserve"> on the theme ‘Engineering Education Research Capability Development’. Full papers </w:t>
      </w:r>
      <w:r w:rsidR="00A307B7">
        <w:t xml:space="preserve">for the journal special issue </w:t>
      </w:r>
      <w:r>
        <w:t xml:space="preserve">must be received by </w:t>
      </w:r>
      <w:r w:rsidRPr="009262EC">
        <w:rPr>
          <w:highlight w:val="yellow"/>
        </w:rPr>
        <w:t>31 July 202</w:t>
      </w:r>
      <w:r w:rsidR="009262EC" w:rsidRPr="009262EC">
        <w:rPr>
          <w:highlight w:val="yellow"/>
        </w:rPr>
        <w:t>2</w:t>
      </w:r>
      <w:r>
        <w:t xml:space="preserve"> for consideration for review. </w:t>
      </w:r>
      <w:r w:rsidR="00205CFE">
        <w:t xml:space="preserve">Participants in the REES AAEE 2021 themed interactive paper sessions are invited to develop papers through collaboration during and following the paper sessions. Additionally, papers </w:t>
      </w:r>
      <w:r>
        <w:t>may</w:t>
      </w:r>
      <w:r w:rsidR="00205CFE">
        <w:t xml:space="preserve"> be</w:t>
      </w:r>
      <w:r>
        <w:t xml:space="preserve"> expanded from a </w:t>
      </w:r>
      <w:r w:rsidR="00083BD0">
        <w:t xml:space="preserve">research </w:t>
      </w:r>
      <w:r>
        <w:t>paper presented at REES AAEE 2021</w:t>
      </w:r>
      <w:r w:rsidR="00205CFE">
        <w:t>, or they may be original papers on the theme</w:t>
      </w:r>
      <w:r>
        <w:t>.</w:t>
      </w:r>
      <w:r w:rsidR="00F66FCB">
        <w:t xml:space="preserve"> Paper should adhere to the J</w:t>
      </w:r>
      <w:r w:rsidR="00205CFE">
        <w:t>ournal’s author guidelines.</w:t>
      </w:r>
    </w:p>
    <w:p w14:paraId="058F6736" w14:textId="3A55CE78" w:rsidR="00CB550B" w:rsidRDefault="00CB550B" w:rsidP="00B54E73">
      <w:pPr>
        <w:pStyle w:val="ListParagraph"/>
        <w:ind w:left="0"/>
      </w:pPr>
    </w:p>
    <w:p w14:paraId="5837C0A5" w14:textId="64D955CF" w:rsidR="00F02320" w:rsidRDefault="00F02320" w:rsidP="00B54E73">
      <w:pPr>
        <w:pStyle w:val="ListParagraph"/>
        <w:ind w:left="0"/>
      </w:pPr>
      <w:r>
        <w:t>Sally Male and Andrew Guzzomi</w:t>
      </w:r>
      <w:r w:rsidR="00AE00BB">
        <w:t xml:space="preserve">, </w:t>
      </w:r>
      <w:r>
        <w:t xml:space="preserve">REES AAEE </w:t>
      </w:r>
      <w:bookmarkStart w:id="0" w:name="_GoBack"/>
      <w:r>
        <w:t>2021</w:t>
      </w:r>
      <w:bookmarkEnd w:id="0"/>
      <w:r w:rsidR="00AE00BB">
        <w:t xml:space="preserve"> Conveners</w:t>
      </w:r>
    </w:p>
    <w:sectPr w:rsidR="00F023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17EE8"/>
    <w:multiLevelType w:val="hybridMultilevel"/>
    <w:tmpl w:val="0BFAE4B6"/>
    <w:lvl w:ilvl="0" w:tplc="B06EEED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73415B7"/>
    <w:multiLevelType w:val="hybridMultilevel"/>
    <w:tmpl w:val="30F8067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1305F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A549F0"/>
    <w:multiLevelType w:val="hybridMultilevel"/>
    <w:tmpl w:val="82E04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E63270"/>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743FAF"/>
    <w:multiLevelType w:val="hybridMultilevel"/>
    <w:tmpl w:val="A55A0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0C938D9"/>
    <w:multiLevelType w:val="multilevel"/>
    <w:tmpl w:val="2AF8D5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671138FF"/>
    <w:multiLevelType w:val="hybridMultilevel"/>
    <w:tmpl w:val="21AE988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4"/>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28"/>
    <w:rsid w:val="00083BD0"/>
    <w:rsid w:val="000969DB"/>
    <w:rsid w:val="000A3097"/>
    <w:rsid w:val="000C52C7"/>
    <w:rsid w:val="001E4079"/>
    <w:rsid w:val="001E5E5E"/>
    <w:rsid w:val="00205CFE"/>
    <w:rsid w:val="002231A3"/>
    <w:rsid w:val="0029769A"/>
    <w:rsid w:val="002A5F24"/>
    <w:rsid w:val="00342C1C"/>
    <w:rsid w:val="003A665A"/>
    <w:rsid w:val="004254C5"/>
    <w:rsid w:val="00463207"/>
    <w:rsid w:val="004A19D9"/>
    <w:rsid w:val="004D1304"/>
    <w:rsid w:val="00515E8F"/>
    <w:rsid w:val="00532CA3"/>
    <w:rsid w:val="00585FD4"/>
    <w:rsid w:val="005A72BC"/>
    <w:rsid w:val="005E3F52"/>
    <w:rsid w:val="006B00EB"/>
    <w:rsid w:val="006D2B43"/>
    <w:rsid w:val="006F5BDF"/>
    <w:rsid w:val="007F52A5"/>
    <w:rsid w:val="008501A8"/>
    <w:rsid w:val="008667B9"/>
    <w:rsid w:val="008A039B"/>
    <w:rsid w:val="008B36D0"/>
    <w:rsid w:val="008B3A02"/>
    <w:rsid w:val="008B6F71"/>
    <w:rsid w:val="008F7D19"/>
    <w:rsid w:val="009262EC"/>
    <w:rsid w:val="0092680C"/>
    <w:rsid w:val="009D7667"/>
    <w:rsid w:val="00A307B7"/>
    <w:rsid w:val="00A400BB"/>
    <w:rsid w:val="00A44206"/>
    <w:rsid w:val="00AD3D72"/>
    <w:rsid w:val="00AE00BB"/>
    <w:rsid w:val="00AE04D3"/>
    <w:rsid w:val="00B20156"/>
    <w:rsid w:val="00B46428"/>
    <w:rsid w:val="00B54E73"/>
    <w:rsid w:val="00B92CC8"/>
    <w:rsid w:val="00BE7791"/>
    <w:rsid w:val="00C453D4"/>
    <w:rsid w:val="00C61819"/>
    <w:rsid w:val="00CB550B"/>
    <w:rsid w:val="00E209EE"/>
    <w:rsid w:val="00E43AAF"/>
    <w:rsid w:val="00E93EA3"/>
    <w:rsid w:val="00ED1F68"/>
    <w:rsid w:val="00F02320"/>
    <w:rsid w:val="00F66FCB"/>
    <w:rsid w:val="00FA53D8"/>
    <w:rsid w:val="00FF7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7AF9"/>
  <w15:docId w15:val="{7FE5E97F-5D77-4ECA-9041-2935DCD6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44206"/>
    <w:pPr>
      <w:ind w:left="720"/>
      <w:contextualSpacing/>
    </w:pPr>
  </w:style>
  <w:style w:type="character" w:styleId="Hyperlink">
    <w:name w:val="Hyperlink"/>
    <w:basedOn w:val="DefaultParagraphFont"/>
    <w:uiPriority w:val="99"/>
    <w:unhideWhenUsed/>
    <w:rsid w:val="00F66FCB"/>
    <w:rPr>
      <w:color w:val="0000FF" w:themeColor="hyperlink"/>
      <w:u w:val="single"/>
    </w:rPr>
  </w:style>
  <w:style w:type="table" w:styleId="TableGrid">
    <w:name w:val="Table Grid"/>
    <w:basedOn w:val="TableNormal"/>
    <w:uiPriority w:val="59"/>
    <w:rsid w:val="00AE04D3"/>
    <w:pPr>
      <w:spacing w:line="240" w:lineRule="auto"/>
    </w:pPr>
    <w:rPr>
      <w:rFonts w:asciiTheme="minorHAnsi" w:eastAsiaTheme="minorEastAsia" w:hAnsiTheme="minorHAnsi" w:cstheme="minorBidi"/>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6689">
      <w:bodyDiv w:val="1"/>
      <w:marLeft w:val="0"/>
      <w:marRight w:val="0"/>
      <w:marTop w:val="0"/>
      <w:marBottom w:val="0"/>
      <w:divBdr>
        <w:top w:val="none" w:sz="0" w:space="0" w:color="auto"/>
        <w:left w:val="none" w:sz="0" w:space="0" w:color="auto"/>
        <w:bottom w:val="none" w:sz="0" w:space="0" w:color="auto"/>
        <w:right w:val="none" w:sz="0" w:space="0" w:color="auto"/>
      </w:divBdr>
    </w:div>
    <w:div w:id="1519152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ndfonline.com/toc/teen20/cur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s01.safelinks.protection.outlook.com/?url=https%3A%2F%2Feasychair.org%2Fconferences%2F%3Fconf%3Dreesaaee2021&amp;data=04%7C01%7Csally.male%40uwa.edu.au%7Cf37bbe7d0d94407f11fa08d8e438ecb3%7C05894af0cb2846d8871674cdb46e2226%7C1%7C0%7C637510280423629420%7CUnknown%7CTWFpbGZsb3d8eyJWIjoiMC4wLjAwMDAiLCJQIjoiV2luMzIiLCJBTiI6Ik1haWwiLCJXVCI6Mn0%3D%7C1000&amp;sdata=XqBTfamDVMaLeqwxw%2B0K0D%2BNqo87Vdy%2F4p%2B8u4KunsY%3D&amp;reserved=0" TargetMode="External"/><Relationship Id="rId5" Type="http://schemas.openxmlformats.org/officeDocument/2006/relationships/hyperlink" Target="https://rees-aaee21.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Male</dc:creator>
  <cp:lastModifiedBy>Sally Male</cp:lastModifiedBy>
  <cp:revision>3</cp:revision>
  <dcterms:created xsi:type="dcterms:W3CDTF">2021-04-17T08:29:00Z</dcterms:created>
  <dcterms:modified xsi:type="dcterms:W3CDTF">2021-04-17T08:30:00Z</dcterms:modified>
</cp:coreProperties>
</file>